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C36" w:rsidRPr="00162C36" w:rsidRDefault="00162C36" w:rsidP="00162C3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b/>
          <w:sz w:val="32"/>
        </w:rPr>
      </w:pPr>
      <w:r w:rsidRPr="00162C36">
        <w:rPr>
          <w:rFonts w:ascii="Tahoma" w:hAnsi="Tahoma" w:cs="Tahoma"/>
          <w:b/>
          <w:sz w:val="32"/>
        </w:rPr>
        <w:t>Digestive system DBQ</w:t>
      </w:r>
    </w:p>
    <w:p w:rsidR="00162C36" w:rsidRPr="00162C36" w:rsidRDefault="00162C36" w:rsidP="00162C3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rsidR="00162C36" w:rsidRPr="00162C36" w:rsidRDefault="00162C36" w:rsidP="00162C36">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sidRPr="00162C36">
        <w:rPr>
          <w:rFonts w:ascii="Tahoma" w:hAnsi="Tahoma" w:cs="Tahoma"/>
        </w:rPr>
        <w:t>Carotenoids are plant pigments which occur in different forms, such as lutein (from spinach),</w:t>
      </w:r>
      <w:r w:rsidR="00BF33AF">
        <w:rPr>
          <w:rFonts w:ascii="Tahoma" w:hAnsi="Tahoma" w:cs="Tahoma"/>
        </w:rPr>
        <w:t xml:space="preserve"> β</w:t>
      </w:r>
      <w:r w:rsidRPr="00162C36">
        <w:rPr>
          <w:rFonts w:ascii="Tahoma" w:hAnsi="Tahoma" w:cs="Tahoma"/>
        </w:rPr>
        <w:t>-carotene (from carrots), and lycopene (from tomatoes). Researchers investigated the processing of carotenoids from vegetables in the stomach and small intestine. Healthy men were fed three test meals differing only in the vegetable added. The carotenoid content of each test meal was the same. Although the meals were basically liquid, the spinach meal had been made from chopped spinach leaves. The meals were ingested in random order with three-week intervals between them. Prior to the first meal, tubes leading directly into the stomach and small intestine were fitted to each man. Samples of stomach and small intestine contents were collected from these tubes at regular intervals after each meal. Data from this study is shown below.</w:t>
      </w:r>
    </w:p>
    <w:p w:rsidR="00162C36" w:rsidRPr="00162C36" w:rsidRDefault="00162C36" w:rsidP="00162C36">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noProof/>
        </w:rPr>
        <w:drawing>
          <wp:inline distT="0" distB="0" distL="0" distR="0" wp14:anchorId="17FB3EBE" wp14:editId="1CA2BB45">
            <wp:extent cx="55626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0" cy="2800350"/>
                    </a:xfrm>
                    <a:prstGeom prst="rect">
                      <a:avLst/>
                    </a:prstGeom>
                    <a:noFill/>
                    <a:ln>
                      <a:noFill/>
                    </a:ln>
                  </pic:spPr>
                </pic:pic>
              </a:graphicData>
            </a:graphic>
          </wp:inline>
        </w:drawing>
      </w:r>
    </w:p>
    <w:p w:rsidR="00162C36" w:rsidRPr="00162C36" w:rsidRDefault="00162C36" w:rsidP="00162C36">
      <w:pPr>
        <w:pStyle w:val="Stylegraph9p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 xml:space="preserve">[Source: </w:t>
      </w:r>
      <w:proofErr w:type="spellStart"/>
      <w:r w:rsidRPr="00162C36">
        <w:rPr>
          <w:rFonts w:ascii="Tahoma" w:hAnsi="Tahoma" w:cs="Tahoma"/>
        </w:rPr>
        <w:t>Tyssandier</w:t>
      </w:r>
      <w:proofErr w:type="spellEnd"/>
      <w:r w:rsidRPr="00162C36">
        <w:rPr>
          <w:rFonts w:ascii="Tahoma" w:hAnsi="Tahoma" w:cs="Tahoma"/>
        </w:rPr>
        <w:t xml:space="preserve"> </w:t>
      </w:r>
      <w:r w:rsidRPr="00162C36">
        <w:rPr>
          <w:rFonts w:ascii="Tahoma" w:hAnsi="Tahoma" w:cs="Tahoma"/>
          <w:i/>
          <w:iCs/>
        </w:rPr>
        <w:t>et al</w:t>
      </w:r>
      <w:r w:rsidRPr="00162C36">
        <w:rPr>
          <w:rFonts w:ascii="Tahoma" w:hAnsi="Tahoma" w:cs="Tahoma"/>
        </w:rPr>
        <w:t xml:space="preserve">, </w:t>
      </w:r>
      <w:r w:rsidRPr="00162C36">
        <w:rPr>
          <w:rFonts w:ascii="Tahoma" w:hAnsi="Tahoma" w:cs="Tahoma"/>
          <w:i/>
          <w:iCs/>
        </w:rPr>
        <w:t>American Journal of Physiology</w:t>
      </w:r>
      <w:r w:rsidRPr="00162C36">
        <w:rPr>
          <w:rFonts w:ascii="Tahoma" w:hAnsi="Tahoma" w:cs="Tahoma"/>
        </w:rPr>
        <w:t xml:space="preserve">, </w:t>
      </w:r>
      <w:r w:rsidRPr="00162C36">
        <w:rPr>
          <w:rFonts w:ascii="Tahoma" w:hAnsi="Tahoma" w:cs="Tahoma"/>
          <w:b/>
          <w:bCs/>
        </w:rPr>
        <w:t>284</w:t>
      </w:r>
      <w:r w:rsidRPr="00162C36">
        <w:rPr>
          <w:rFonts w:ascii="Tahoma" w:hAnsi="Tahoma" w:cs="Tahoma"/>
        </w:rPr>
        <w:t xml:space="preserve">, (2003), pages 913–922. Copyright 2003 by </w:t>
      </w:r>
      <w:r w:rsidRPr="00162C36">
        <w:rPr>
          <w:rFonts w:ascii="Tahoma" w:hAnsi="Tahoma" w:cs="Tahoma"/>
        </w:rPr>
        <w:br/>
        <w:t xml:space="preserve">Am Physiological Society. Reproduced with permission of Am Physiological </w:t>
      </w:r>
      <w:proofErr w:type="spellStart"/>
      <w:r w:rsidRPr="00162C36">
        <w:rPr>
          <w:rFonts w:ascii="Tahoma" w:hAnsi="Tahoma" w:cs="Tahoma"/>
        </w:rPr>
        <w:t>Soc</w:t>
      </w:r>
      <w:proofErr w:type="spellEnd"/>
      <w:r w:rsidRPr="00162C36">
        <w:rPr>
          <w:rFonts w:ascii="Tahoma" w:hAnsi="Tahoma" w:cs="Tahoma"/>
        </w:rPr>
        <w:t xml:space="preserve"> via </w:t>
      </w:r>
      <w:smartTag w:uri="urn:schemas-microsoft-com:office:smarttags" w:element="place">
        <w:smartTag w:uri="urn:schemas-microsoft-com:office:smarttags" w:element="PlaceName">
          <w:r w:rsidRPr="00162C36">
            <w:rPr>
              <w:rFonts w:ascii="Tahoma" w:hAnsi="Tahoma" w:cs="Tahoma"/>
            </w:rPr>
            <w:t>Copyright</w:t>
          </w:r>
        </w:smartTag>
        <w:r w:rsidRPr="00162C36">
          <w:rPr>
            <w:rFonts w:ascii="Tahoma" w:hAnsi="Tahoma" w:cs="Tahoma"/>
          </w:rPr>
          <w:t xml:space="preserve"> </w:t>
        </w:r>
        <w:smartTag w:uri="urn:schemas-microsoft-com:office:smarttags" w:element="PlaceName">
          <w:r w:rsidRPr="00162C36">
            <w:rPr>
              <w:rFonts w:ascii="Tahoma" w:hAnsi="Tahoma" w:cs="Tahoma"/>
            </w:rPr>
            <w:t>Clearance</w:t>
          </w:r>
        </w:smartTag>
        <w:r w:rsidRPr="00162C36">
          <w:rPr>
            <w:rFonts w:ascii="Tahoma" w:hAnsi="Tahoma" w:cs="Tahoma"/>
          </w:rPr>
          <w:t xml:space="preserve"> </w:t>
        </w:r>
        <w:smartTag w:uri="urn:schemas-microsoft-com:office:smarttags" w:element="PlaceType">
          <w:r w:rsidRPr="00162C36">
            <w:rPr>
              <w:rFonts w:ascii="Tahoma" w:hAnsi="Tahoma" w:cs="Tahoma"/>
            </w:rPr>
            <w:t>Center</w:t>
          </w:r>
        </w:smartTag>
      </w:smartTag>
      <w:r w:rsidRPr="00162C36">
        <w:rPr>
          <w:rFonts w:ascii="Tahoma" w:hAnsi="Tahoma" w:cs="Tahoma"/>
        </w:rPr>
        <w:t>]</w:t>
      </w:r>
    </w:p>
    <w:p w:rsidR="00162C36" w:rsidRPr="00162C36" w:rsidRDefault="00162C36" w:rsidP="00162C3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 xml:space="preserve"> </w:t>
      </w:r>
    </w:p>
    <w:p w:rsidR="00162C36" w:rsidRPr="00162C36" w:rsidRDefault="00162C36" w:rsidP="00162C36">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(a)</w:t>
      </w:r>
      <w:r w:rsidRPr="00162C36">
        <w:rPr>
          <w:rFonts w:ascii="Tahoma" w:hAnsi="Tahoma" w:cs="Tahoma"/>
        </w:rPr>
        <w:tab/>
        <w:t>(</w:t>
      </w:r>
      <w:proofErr w:type="spellStart"/>
      <w:proofErr w:type="gramStart"/>
      <w:r w:rsidRPr="00162C36">
        <w:rPr>
          <w:rFonts w:ascii="Tahoma" w:hAnsi="Tahoma" w:cs="Tahoma"/>
        </w:rPr>
        <w:t>i</w:t>
      </w:r>
      <w:proofErr w:type="spellEnd"/>
      <w:proofErr w:type="gramEnd"/>
      <w:r w:rsidRPr="00162C36">
        <w:rPr>
          <w:rFonts w:ascii="Tahoma" w:hAnsi="Tahoma" w:cs="Tahoma"/>
        </w:rPr>
        <w:t>)</w:t>
      </w:r>
      <w:r w:rsidRPr="00162C36">
        <w:rPr>
          <w:rFonts w:ascii="Tahoma" w:hAnsi="Tahoma" w:cs="Tahoma"/>
        </w:rPr>
        <w:tab/>
        <w:t>Calculate the rate of decrease of lycopene concentration in the period 60 minutes to 120 minutes after ingestion in the stomach.(1)</w:t>
      </w:r>
    </w:p>
    <w:p w:rsidR="00162C36" w:rsidRPr="00162C36" w:rsidRDefault="00162C36" w:rsidP="00162C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Tahoma" w:hAnsi="Tahoma" w:cs="Tahoma"/>
        </w:rPr>
      </w:pPr>
      <w:r w:rsidRPr="00162C36">
        <w:rPr>
          <w:rFonts w:ascii="Tahoma" w:hAnsi="Tahoma" w:cs="Tahoma"/>
        </w:rPr>
        <w:t xml:space="preserve"> </w:t>
      </w:r>
    </w:p>
    <w:p w:rsidR="00162C36" w:rsidRPr="00162C36" w:rsidRDefault="00162C36" w:rsidP="00162C36">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rFonts w:ascii="Tahoma" w:hAnsi="Tahoma" w:cs="Tahoma"/>
        </w:rPr>
      </w:pPr>
      <w:r w:rsidRPr="00162C36">
        <w:rPr>
          <w:rFonts w:ascii="Tahoma" w:hAnsi="Tahoma" w:cs="Tahoma"/>
        </w:rPr>
        <w:t>(ii)</w:t>
      </w:r>
      <w:r w:rsidRPr="00162C36">
        <w:rPr>
          <w:rFonts w:ascii="Tahoma" w:hAnsi="Tahoma" w:cs="Tahoma"/>
        </w:rPr>
        <w:tab/>
        <w:t>Predict how many minutes from ingestion it will take lycopene to completely leave the stomach</w:t>
      </w:r>
      <w:proofErr w:type="gramStart"/>
      <w:r w:rsidRPr="00162C36">
        <w:rPr>
          <w:rFonts w:ascii="Tahoma" w:hAnsi="Tahoma" w:cs="Tahoma"/>
        </w:rPr>
        <w:t>.(</w:t>
      </w:r>
      <w:proofErr w:type="gramEnd"/>
      <w:r w:rsidRPr="00162C36">
        <w:rPr>
          <w:rFonts w:ascii="Tahoma" w:hAnsi="Tahoma" w:cs="Tahoma"/>
        </w:rPr>
        <w:t>1)</w:t>
      </w:r>
    </w:p>
    <w:p w:rsidR="00162C36" w:rsidRPr="00162C36" w:rsidRDefault="00162C36" w:rsidP="00162C3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 xml:space="preserve"> </w:t>
      </w:r>
    </w:p>
    <w:p w:rsidR="00162C36" w:rsidRPr="00162C36" w:rsidRDefault="00162C36" w:rsidP="00162C3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(b)</w:t>
      </w:r>
      <w:r w:rsidRPr="00162C36">
        <w:rPr>
          <w:rFonts w:ascii="Tahoma" w:hAnsi="Tahoma" w:cs="Tahoma"/>
        </w:rPr>
        <w:tab/>
        <w:t xml:space="preserve">Describe the changes in stomach content of lutein, </w:t>
      </w:r>
      <w:r w:rsidRPr="00162C36">
        <w:rPr>
          <w:rFonts w:ascii="Tahoma" w:hAnsi="Tahoma" w:cs="Tahoma"/>
          <w:i/>
          <w:iCs/>
        </w:rPr>
        <w:t></w:t>
      </w:r>
      <w:r w:rsidRPr="00162C36">
        <w:rPr>
          <w:rFonts w:ascii="Tahoma" w:hAnsi="Tahoma" w:cs="Tahoma"/>
        </w:rPr>
        <w:t>-carotene and lycopene during the 180 minutes following ingestion</w:t>
      </w:r>
      <w:proofErr w:type="gramStart"/>
      <w:r w:rsidRPr="00162C36">
        <w:rPr>
          <w:rFonts w:ascii="Tahoma" w:hAnsi="Tahoma" w:cs="Tahoma"/>
        </w:rPr>
        <w:t>.(</w:t>
      </w:r>
      <w:proofErr w:type="gramEnd"/>
      <w:r w:rsidRPr="00162C36">
        <w:rPr>
          <w:rFonts w:ascii="Tahoma" w:hAnsi="Tahoma" w:cs="Tahoma"/>
        </w:rPr>
        <w:t>2)</w:t>
      </w:r>
    </w:p>
    <w:p w:rsidR="00162C36" w:rsidRPr="00162C36" w:rsidRDefault="00162C36" w:rsidP="00162C3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 xml:space="preserve"> </w:t>
      </w:r>
    </w:p>
    <w:p w:rsidR="00162C36" w:rsidRPr="00162C36" w:rsidRDefault="00162C36" w:rsidP="00162C36">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rFonts w:ascii="Tahoma" w:hAnsi="Tahoma" w:cs="Tahoma"/>
        </w:rPr>
      </w:pPr>
      <w:r w:rsidRPr="00162C36">
        <w:rPr>
          <w:rFonts w:ascii="Tahoma" w:hAnsi="Tahoma" w:cs="Tahoma"/>
        </w:rPr>
        <w:t>(c)</w:t>
      </w:r>
      <w:r w:rsidRPr="00162C36">
        <w:rPr>
          <w:rFonts w:ascii="Tahoma" w:hAnsi="Tahoma" w:cs="Tahoma"/>
        </w:rPr>
        <w:tab/>
        <w:t>Suggest a reason why the concentration of lycopene stays relatively constant in the small intestine</w:t>
      </w:r>
      <w:proofErr w:type="gramStart"/>
      <w:r w:rsidRPr="00162C36">
        <w:rPr>
          <w:rFonts w:ascii="Tahoma" w:hAnsi="Tahoma" w:cs="Tahoma"/>
        </w:rPr>
        <w:t>.(</w:t>
      </w:r>
      <w:proofErr w:type="gramEnd"/>
      <w:r w:rsidRPr="00162C36">
        <w:rPr>
          <w:rFonts w:ascii="Tahoma" w:hAnsi="Tahoma" w:cs="Tahoma"/>
        </w:rPr>
        <w:t>1)</w:t>
      </w:r>
    </w:p>
    <w:p w:rsidR="00114A36" w:rsidRDefault="00114A36"/>
    <w:p w:rsidR="00BF33AF" w:rsidRDefault="00BF33AF"/>
    <w:p w:rsidR="00BF33AF" w:rsidRDefault="00BF33AF"/>
    <w:p w:rsidR="00BF33AF" w:rsidRDefault="00BF33AF" w:rsidP="00A52D62">
      <w:pPr>
        <w:pStyle w:val="Heading1"/>
      </w:pPr>
      <w:r>
        <w:lastRenderedPageBreak/>
        <w:t xml:space="preserve">Label and color </w:t>
      </w:r>
    </w:p>
    <w:p w:rsidR="00BF33AF" w:rsidRDefault="00BF33AF">
      <w:r>
        <w:rPr>
          <w:noProof/>
        </w:rPr>
        <mc:AlternateContent>
          <mc:Choice Requires="wps">
            <w:drawing>
              <wp:anchor distT="45720" distB="45720" distL="114300" distR="114300" simplePos="0" relativeHeight="251658240" behindDoc="0" locked="0" layoutInCell="1" allowOverlap="1" wp14:anchorId="0E27302F" wp14:editId="10703CF0">
                <wp:simplePos x="0" y="0"/>
                <wp:positionH relativeFrom="column">
                  <wp:posOffset>3413473</wp:posOffset>
                </wp:positionH>
                <wp:positionV relativeFrom="paragraph">
                  <wp:posOffset>312276</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F33AF" w:rsidRDefault="00BF33AF" w:rsidP="00BF33AF">
                            <w:pPr>
                              <w:pStyle w:val="ListParagraph"/>
                              <w:numPr>
                                <w:ilvl w:val="0"/>
                                <w:numId w:val="1"/>
                              </w:numPr>
                            </w:pPr>
                            <w:r>
                              <w:t>Mouth</w:t>
                            </w:r>
                          </w:p>
                          <w:p w:rsidR="00BF33AF" w:rsidRDefault="00BF33AF" w:rsidP="00BF33AF">
                            <w:pPr>
                              <w:pStyle w:val="ListParagraph"/>
                              <w:numPr>
                                <w:ilvl w:val="0"/>
                                <w:numId w:val="1"/>
                              </w:numPr>
                            </w:pPr>
                            <w:r>
                              <w:t xml:space="preserve">Esophagus </w:t>
                            </w:r>
                          </w:p>
                          <w:p w:rsidR="00BF33AF" w:rsidRDefault="00BF33AF" w:rsidP="00BF33AF">
                            <w:pPr>
                              <w:pStyle w:val="ListParagraph"/>
                              <w:numPr>
                                <w:ilvl w:val="0"/>
                                <w:numId w:val="1"/>
                              </w:numPr>
                            </w:pPr>
                            <w:r>
                              <w:t xml:space="preserve">Small intestine </w:t>
                            </w:r>
                          </w:p>
                          <w:p w:rsidR="00BF33AF" w:rsidRDefault="00BF33AF" w:rsidP="00BF33AF">
                            <w:pPr>
                              <w:pStyle w:val="ListParagraph"/>
                              <w:numPr>
                                <w:ilvl w:val="0"/>
                                <w:numId w:val="1"/>
                              </w:numPr>
                            </w:pPr>
                            <w:r>
                              <w:t xml:space="preserve">Stomach </w:t>
                            </w:r>
                          </w:p>
                          <w:p w:rsidR="00BF33AF" w:rsidRDefault="00BF33AF" w:rsidP="00BF33AF">
                            <w:pPr>
                              <w:pStyle w:val="ListParagraph"/>
                              <w:numPr>
                                <w:ilvl w:val="0"/>
                                <w:numId w:val="1"/>
                              </w:numPr>
                            </w:pPr>
                            <w:r>
                              <w:t>Pancreas</w:t>
                            </w:r>
                          </w:p>
                          <w:p w:rsidR="00BF33AF" w:rsidRDefault="00BF33AF" w:rsidP="00BF33AF">
                            <w:pPr>
                              <w:pStyle w:val="ListParagraph"/>
                              <w:numPr>
                                <w:ilvl w:val="0"/>
                                <w:numId w:val="1"/>
                              </w:numPr>
                            </w:pPr>
                            <w:r>
                              <w:t>Liver</w:t>
                            </w:r>
                          </w:p>
                          <w:p w:rsidR="00BF33AF" w:rsidRDefault="00BF33AF" w:rsidP="00BF33AF">
                            <w:pPr>
                              <w:pStyle w:val="ListParagraph"/>
                              <w:numPr>
                                <w:ilvl w:val="0"/>
                                <w:numId w:val="1"/>
                              </w:numPr>
                            </w:pPr>
                            <w:r>
                              <w:t>Gall Bladder</w:t>
                            </w:r>
                          </w:p>
                          <w:p w:rsidR="00BF33AF" w:rsidRDefault="00BF33AF" w:rsidP="00BF33AF">
                            <w:pPr>
                              <w:pStyle w:val="ListParagraph"/>
                              <w:numPr>
                                <w:ilvl w:val="0"/>
                                <w:numId w:val="1"/>
                              </w:numPr>
                            </w:pPr>
                            <w:r>
                              <w:t>Large intestine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27302F" id="_x0000_t202" coordsize="21600,21600" o:spt="202" path="m,l,21600r21600,l21600,xe">
                <v:stroke joinstyle="miter"/>
                <v:path gradientshapeok="t" o:connecttype="rect"/>
              </v:shapetype>
              <v:shape id="Text Box 2" o:spid="_x0000_s1026" type="#_x0000_t202" style="position:absolute;margin-left:268.8pt;margin-top:24.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">
                <v:textbox style="mso-fit-shape-to-text:t">
                  <w:txbxContent>
                    <w:p w:rsidR="00BF33AF" w:rsidRDefault="00BF33AF" w:rsidP="00BF33AF">
                      <w:pPr>
                        <w:pStyle w:val="ListParagraph"/>
                        <w:numPr>
                          <w:ilvl w:val="0"/>
                          <w:numId w:val="1"/>
                        </w:numPr>
                      </w:pPr>
                      <w:r>
                        <w:t>Mouth</w:t>
                      </w:r>
                    </w:p>
                    <w:p w:rsidR="00BF33AF" w:rsidRDefault="00BF33AF" w:rsidP="00BF33AF">
                      <w:pPr>
                        <w:pStyle w:val="ListParagraph"/>
                        <w:numPr>
                          <w:ilvl w:val="0"/>
                          <w:numId w:val="1"/>
                        </w:numPr>
                      </w:pPr>
                      <w:r>
                        <w:t xml:space="preserve">Esophagus </w:t>
                      </w:r>
                    </w:p>
                    <w:p w:rsidR="00BF33AF" w:rsidRDefault="00BF33AF" w:rsidP="00BF33AF">
                      <w:pPr>
                        <w:pStyle w:val="ListParagraph"/>
                        <w:numPr>
                          <w:ilvl w:val="0"/>
                          <w:numId w:val="1"/>
                        </w:numPr>
                      </w:pPr>
                      <w:r>
                        <w:t xml:space="preserve">Small intestine </w:t>
                      </w:r>
                    </w:p>
                    <w:p w:rsidR="00BF33AF" w:rsidRDefault="00BF33AF" w:rsidP="00BF33AF">
                      <w:pPr>
                        <w:pStyle w:val="ListParagraph"/>
                        <w:numPr>
                          <w:ilvl w:val="0"/>
                          <w:numId w:val="1"/>
                        </w:numPr>
                      </w:pPr>
                      <w:r>
                        <w:t xml:space="preserve">Stomach </w:t>
                      </w:r>
                    </w:p>
                    <w:p w:rsidR="00BF33AF" w:rsidRDefault="00BF33AF" w:rsidP="00BF33AF">
                      <w:pPr>
                        <w:pStyle w:val="ListParagraph"/>
                        <w:numPr>
                          <w:ilvl w:val="0"/>
                          <w:numId w:val="1"/>
                        </w:numPr>
                      </w:pPr>
                      <w:r>
                        <w:t>Pancreas</w:t>
                      </w:r>
                    </w:p>
                    <w:p w:rsidR="00BF33AF" w:rsidRDefault="00BF33AF" w:rsidP="00BF33AF">
                      <w:pPr>
                        <w:pStyle w:val="ListParagraph"/>
                        <w:numPr>
                          <w:ilvl w:val="0"/>
                          <w:numId w:val="1"/>
                        </w:numPr>
                      </w:pPr>
                      <w:r>
                        <w:t>Liver</w:t>
                      </w:r>
                    </w:p>
                    <w:p w:rsidR="00BF33AF" w:rsidRDefault="00BF33AF" w:rsidP="00BF33AF">
                      <w:pPr>
                        <w:pStyle w:val="ListParagraph"/>
                        <w:numPr>
                          <w:ilvl w:val="0"/>
                          <w:numId w:val="1"/>
                        </w:numPr>
                      </w:pPr>
                      <w:r>
                        <w:t>Gall Bladder</w:t>
                      </w:r>
                    </w:p>
                    <w:p w:rsidR="00BF33AF" w:rsidRDefault="00BF33AF" w:rsidP="00BF33AF">
                      <w:pPr>
                        <w:pStyle w:val="ListParagraph"/>
                        <w:numPr>
                          <w:ilvl w:val="0"/>
                          <w:numId w:val="1"/>
                        </w:numPr>
                      </w:pPr>
                      <w:r>
                        <w:t>Large intestine</w:t>
                      </w:r>
                    </w:p>
                  </w:txbxContent>
                </v:textbox>
                <w10:wrap type="square"/>
              </v:shape>
            </w:pict>
          </mc:Fallback>
        </mc:AlternateContent>
      </w:r>
      <w:r>
        <w:rPr>
          <w:noProof/>
          <w:color w:val="0000FF"/>
        </w:rPr>
        <w:drawing>
          <wp:inline distT="0" distB="0" distL="0" distR="0">
            <wp:extent cx="2105025" cy="5262245"/>
            <wp:effectExtent l="0" t="0" r="9525" b="0"/>
            <wp:docPr id="2" name="Picture 2" descr="Image result for digestive system colo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gestive system colo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5262245"/>
                    </a:xfrm>
                    <a:prstGeom prst="rect">
                      <a:avLst/>
                    </a:prstGeom>
                    <a:noFill/>
                    <a:ln>
                      <a:noFill/>
                    </a:ln>
                  </pic:spPr>
                </pic:pic>
              </a:graphicData>
            </a:graphic>
          </wp:inline>
        </w:drawing>
      </w:r>
    </w:p>
    <w:p w:rsidR="00BF33AF" w:rsidRDefault="00A52D62">
      <w:r>
        <w:t>Use fatty acids and gl</w:t>
      </w:r>
      <w:r w:rsidR="0092425A">
        <w:t>ucose as example to explain how</w:t>
      </w:r>
      <w:r>
        <w:t xml:space="preserve"> different nutrients are absorbed. </w:t>
      </w:r>
    </w:p>
    <w:p w:rsidR="00A52D62" w:rsidRDefault="00A52D62">
      <w:r w:rsidRPr="00A52D62">
        <w:rPr>
          <w:noProof/>
        </w:rPr>
        <w:drawing>
          <wp:inline distT="0" distB="0" distL="0" distR="0">
            <wp:extent cx="5388539" cy="3042692"/>
            <wp:effectExtent l="0" t="0" r="3175" b="5715"/>
            <wp:docPr id="3" name="Picture 3" descr="C:\Users\kellyl.smith\AppData\Local\Microsoft\Windows\Temporary Internet Files\Content.IE5\FG88HJ08\IMG_4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l.smith\AppData\Local\Microsoft\Windows\Temporary Internet Files\Content.IE5\FG88HJ08\IMG_435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6962" r="1853" b="18781"/>
                    <a:stretch/>
                  </pic:blipFill>
                  <pic:spPr bwMode="auto">
                    <a:xfrm>
                      <a:off x="0" y="0"/>
                      <a:ext cx="5418889" cy="3059829"/>
                    </a:xfrm>
                    <a:prstGeom prst="rect">
                      <a:avLst/>
                    </a:prstGeom>
                    <a:noFill/>
                    <a:ln>
                      <a:noFill/>
                    </a:ln>
                    <a:extLst>
                      <a:ext uri="{53640926-AAD7-44D8-BBD7-CCE9431645EC}">
                        <a14:shadowObscured xmlns:a14="http://schemas.microsoft.com/office/drawing/2010/main"/>
                      </a:ext>
                    </a:extLst>
                  </pic:spPr>
                </pic:pic>
              </a:graphicData>
            </a:graphic>
          </wp:inline>
        </w:drawing>
      </w:r>
    </w:p>
    <w:p w:rsidR="00A52D62" w:rsidRDefault="00A52D62"/>
    <w:tbl>
      <w:tblPr>
        <w:tblStyle w:val="TableGrid"/>
        <w:tblW w:w="0" w:type="auto"/>
        <w:tblLook w:val="04A0" w:firstRow="1" w:lastRow="0" w:firstColumn="1" w:lastColumn="0" w:noHBand="0" w:noVBand="1"/>
      </w:tblPr>
      <w:tblGrid>
        <w:gridCol w:w="3192"/>
        <w:gridCol w:w="3192"/>
        <w:gridCol w:w="3192"/>
      </w:tblGrid>
      <w:tr w:rsidR="00BF33AF" w:rsidTr="00BF33AF">
        <w:tc>
          <w:tcPr>
            <w:tcW w:w="3192" w:type="dxa"/>
          </w:tcPr>
          <w:p w:rsidR="00BF33AF" w:rsidRDefault="00BF33AF">
            <w:r>
              <w:t>Enzyme</w:t>
            </w:r>
          </w:p>
        </w:tc>
        <w:tc>
          <w:tcPr>
            <w:tcW w:w="3192" w:type="dxa"/>
          </w:tcPr>
          <w:p w:rsidR="00BF33AF" w:rsidRDefault="00A52D62" w:rsidP="00A52D62">
            <w:r>
              <w:t>Molecule digested</w:t>
            </w:r>
          </w:p>
        </w:tc>
        <w:tc>
          <w:tcPr>
            <w:tcW w:w="3192" w:type="dxa"/>
          </w:tcPr>
          <w:p w:rsidR="00BF33AF" w:rsidRDefault="00A52D62">
            <w:r>
              <w:t>Resulting molecule of digestion</w:t>
            </w:r>
          </w:p>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BF33AF" w:rsidTr="00BF33AF">
        <w:tc>
          <w:tcPr>
            <w:tcW w:w="3192" w:type="dxa"/>
          </w:tcPr>
          <w:p w:rsidR="00BF33AF" w:rsidRDefault="00BF33AF"/>
        </w:tc>
        <w:tc>
          <w:tcPr>
            <w:tcW w:w="3192" w:type="dxa"/>
          </w:tcPr>
          <w:p w:rsidR="00BF33AF" w:rsidRDefault="00BF33AF"/>
          <w:p w:rsidR="00A52D62" w:rsidRDefault="00A52D62"/>
        </w:tc>
        <w:tc>
          <w:tcPr>
            <w:tcW w:w="3192" w:type="dxa"/>
          </w:tcPr>
          <w:p w:rsidR="00BF33AF" w:rsidRDefault="00BF33AF"/>
        </w:tc>
      </w:tr>
      <w:tr w:rsidR="00A52D62" w:rsidTr="00BF33AF">
        <w:tc>
          <w:tcPr>
            <w:tcW w:w="3192" w:type="dxa"/>
          </w:tcPr>
          <w:p w:rsidR="00A52D62" w:rsidRDefault="00A52D62"/>
        </w:tc>
        <w:tc>
          <w:tcPr>
            <w:tcW w:w="3192" w:type="dxa"/>
          </w:tcPr>
          <w:p w:rsidR="00A52D62" w:rsidRDefault="00A52D62"/>
          <w:p w:rsidR="00A52D62" w:rsidRDefault="00A52D62"/>
        </w:tc>
        <w:tc>
          <w:tcPr>
            <w:tcW w:w="3192" w:type="dxa"/>
          </w:tcPr>
          <w:p w:rsidR="00A52D62" w:rsidRDefault="00A52D62"/>
        </w:tc>
      </w:tr>
      <w:tr w:rsidR="00A52D62" w:rsidTr="00BF33AF">
        <w:tc>
          <w:tcPr>
            <w:tcW w:w="3192" w:type="dxa"/>
          </w:tcPr>
          <w:p w:rsidR="00A52D62" w:rsidRDefault="00A52D62"/>
        </w:tc>
        <w:tc>
          <w:tcPr>
            <w:tcW w:w="3192" w:type="dxa"/>
          </w:tcPr>
          <w:p w:rsidR="00A52D62" w:rsidRDefault="00A52D62"/>
          <w:p w:rsidR="00A52D62" w:rsidRDefault="00A52D62"/>
        </w:tc>
        <w:tc>
          <w:tcPr>
            <w:tcW w:w="3192" w:type="dxa"/>
          </w:tcPr>
          <w:p w:rsidR="00A52D62" w:rsidRDefault="00A52D62"/>
        </w:tc>
      </w:tr>
      <w:tr w:rsidR="00A52D62" w:rsidTr="00BF33AF">
        <w:tc>
          <w:tcPr>
            <w:tcW w:w="3192" w:type="dxa"/>
          </w:tcPr>
          <w:p w:rsidR="00A52D62" w:rsidRDefault="00A52D62"/>
        </w:tc>
        <w:tc>
          <w:tcPr>
            <w:tcW w:w="3192" w:type="dxa"/>
          </w:tcPr>
          <w:p w:rsidR="00A52D62" w:rsidRDefault="00A52D62"/>
          <w:p w:rsidR="00A52D62" w:rsidRDefault="00A52D62"/>
        </w:tc>
        <w:tc>
          <w:tcPr>
            <w:tcW w:w="3192" w:type="dxa"/>
          </w:tcPr>
          <w:p w:rsidR="00A52D62" w:rsidRDefault="00A52D62"/>
        </w:tc>
      </w:tr>
      <w:tr w:rsidR="00A52D62" w:rsidTr="00BF33AF">
        <w:tc>
          <w:tcPr>
            <w:tcW w:w="3192" w:type="dxa"/>
          </w:tcPr>
          <w:p w:rsidR="00A52D62" w:rsidRDefault="00A52D62"/>
        </w:tc>
        <w:tc>
          <w:tcPr>
            <w:tcW w:w="3192" w:type="dxa"/>
          </w:tcPr>
          <w:p w:rsidR="00A52D62" w:rsidRDefault="00A52D62"/>
          <w:p w:rsidR="00A52D62" w:rsidRDefault="00A52D62"/>
        </w:tc>
        <w:tc>
          <w:tcPr>
            <w:tcW w:w="3192" w:type="dxa"/>
          </w:tcPr>
          <w:p w:rsidR="00A52D62" w:rsidRDefault="00A52D62"/>
        </w:tc>
      </w:tr>
    </w:tbl>
    <w:p w:rsidR="00BF33AF" w:rsidRDefault="00CD5183">
      <w:r>
        <w:br/>
      </w:r>
    </w:p>
    <w:p w:rsidR="00CD5183" w:rsidRDefault="00CD5183">
      <w:r>
        <w:rPr>
          <w:rFonts w:ascii="Arial" w:hAnsi="Arial" w:cs="Arial"/>
          <w:noProof/>
          <w:sz w:val="20"/>
          <w:szCs w:val="20"/>
        </w:rPr>
        <w:drawing>
          <wp:inline distT="0" distB="0" distL="0" distR="0">
            <wp:extent cx="3657600" cy="2122170"/>
            <wp:effectExtent l="0" t="0" r="0" b="0"/>
            <wp:docPr id="4" name="Picture 4" descr="Longitudinal Cross section through the Wall of the Duod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itudinal Cross section through the Wall of the Duoden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22170"/>
                    </a:xfrm>
                    <a:prstGeom prst="rect">
                      <a:avLst/>
                    </a:prstGeom>
                    <a:noFill/>
                    <a:ln>
                      <a:noFill/>
                    </a:ln>
                  </pic:spPr>
                </pic:pic>
              </a:graphicData>
            </a:graphic>
          </wp:inline>
        </w:drawing>
      </w:r>
    </w:p>
    <w:p w:rsidR="00CD5183" w:rsidRDefault="00CD5183">
      <w:r>
        <w:t xml:space="preserve">Label the diagram above with serosa, muscle layers, sub-mucosa and </w:t>
      </w:r>
      <w:proofErr w:type="spellStart"/>
      <w:r>
        <w:t>muscoa</w:t>
      </w:r>
      <w:proofErr w:type="spellEnd"/>
      <w:r>
        <w:t xml:space="preserve"> </w:t>
      </w:r>
    </w:p>
    <w:p w:rsidR="00990DE5" w:rsidRDefault="00990DE5"/>
    <w:p w:rsidR="00990DE5" w:rsidRDefault="00990DE5" w:rsidP="00990DE5">
      <w:r>
        <w:t>Use fatty acids and glucose</w:t>
      </w:r>
      <w:bookmarkStart w:id="0" w:name="_GoBack"/>
      <w:bookmarkEnd w:id="0"/>
      <w:r>
        <w:t xml:space="preserve"> as example to explain how different nutrients are absorbed. </w:t>
      </w:r>
    </w:p>
    <w:p w:rsidR="00990DE5" w:rsidRDefault="00990DE5">
      <w:r>
        <w:t>Explain the digestion of starch</w:t>
      </w:r>
    </w:p>
    <w:p w:rsidR="00990DE5" w:rsidRDefault="00990DE5">
      <w:r>
        <w:t xml:space="preserve">Explain the process of peristalsis </w:t>
      </w:r>
    </w:p>
    <w:sectPr w:rsidR="00990DE5" w:rsidSect="00A52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C0643"/>
    <w:multiLevelType w:val="hybridMultilevel"/>
    <w:tmpl w:val="C2CE0D7C"/>
    <w:lvl w:ilvl="0" w:tplc="D5D6ECE4">
      <w:start w:val="1"/>
      <w:numFmt w:val="bullet"/>
      <w:lvlText w:val=""/>
      <w:lvlJc w:val="left"/>
      <w:pPr>
        <w:ind w:left="72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36"/>
    <w:rsid w:val="00114A36"/>
    <w:rsid w:val="00162C36"/>
    <w:rsid w:val="0092425A"/>
    <w:rsid w:val="00990DE5"/>
    <w:rsid w:val="00A52D62"/>
    <w:rsid w:val="00BF33AF"/>
    <w:rsid w:val="00C66980"/>
    <w:rsid w:val="00C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D7207AC-331D-44B8-87BF-5CFBEB4C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D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162C36"/>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rPr>
  </w:style>
  <w:style w:type="paragraph" w:customStyle="1" w:styleId="graph">
    <w:name w:val="graph"/>
    <w:basedOn w:val="Normal"/>
    <w:uiPriority w:val="99"/>
    <w:rsid w:val="00162C36"/>
    <w:pPr>
      <w:widowControl w:val="0"/>
      <w:autoSpaceDE w:val="0"/>
      <w:autoSpaceDN w:val="0"/>
      <w:adjustRightInd w:val="0"/>
      <w:spacing w:before="240" w:after="0" w:line="240" w:lineRule="auto"/>
      <w:jc w:val="center"/>
    </w:pPr>
    <w:rPr>
      <w:rFonts w:ascii="Times New Roman" w:eastAsia="Times New Roman" w:hAnsi="Times New Roman" w:cs="Times New Roman"/>
    </w:rPr>
  </w:style>
  <w:style w:type="paragraph" w:customStyle="1" w:styleId="Stylegraph9pt">
    <w:name w:val="Style graph + 9 pt"/>
    <w:basedOn w:val="graph"/>
    <w:uiPriority w:val="99"/>
    <w:rsid w:val="00162C36"/>
    <w:rPr>
      <w:sz w:val="18"/>
      <w:szCs w:val="18"/>
    </w:rPr>
  </w:style>
  <w:style w:type="paragraph" w:customStyle="1" w:styleId="indent1a">
    <w:name w:val="indent1(a)"/>
    <w:basedOn w:val="Normal"/>
    <w:uiPriority w:val="99"/>
    <w:rsid w:val="00162C36"/>
    <w:pPr>
      <w:widowControl w:val="0"/>
      <w:tabs>
        <w:tab w:val="left" w:pos="1134"/>
      </w:tabs>
      <w:autoSpaceDE w:val="0"/>
      <w:autoSpaceDN w:val="0"/>
      <w:adjustRightInd w:val="0"/>
      <w:spacing w:before="240" w:after="0" w:line="240" w:lineRule="auto"/>
      <w:ind w:left="1701" w:right="567" w:hanging="1134"/>
    </w:pPr>
    <w:rPr>
      <w:rFonts w:ascii="Times New Roman" w:eastAsia="Times New Roman" w:hAnsi="Times New Roman" w:cs="Times New Roman"/>
    </w:rPr>
  </w:style>
  <w:style w:type="paragraph" w:customStyle="1" w:styleId="indent2">
    <w:name w:val="indent2"/>
    <w:basedOn w:val="Normal"/>
    <w:uiPriority w:val="99"/>
    <w:rsid w:val="00162C36"/>
    <w:pPr>
      <w:widowControl w:val="0"/>
      <w:autoSpaceDE w:val="0"/>
      <w:autoSpaceDN w:val="0"/>
      <w:adjustRightInd w:val="0"/>
      <w:spacing w:before="240" w:after="0" w:line="240" w:lineRule="auto"/>
      <w:ind w:left="1701" w:right="567" w:hanging="567"/>
    </w:pPr>
    <w:rPr>
      <w:rFonts w:ascii="Times New Roman" w:eastAsia="Times New Roman" w:hAnsi="Times New Roman" w:cs="Times New Roman"/>
    </w:rPr>
  </w:style>
  <w:style w:type="paragraph" w:customStyle="1" w:styleId="indent1Char">
    <w:name w:val="indent1 Char"/>
    <w:basedOn w:val="Normal"/>
    <w:uiPriority w:val="99"/>
    <w:rsid w:val="00162C36"/>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C36"/>
    <w:rPr>
      <w:rFonts w:ascii="Tahoma" w:hAnsi="Tahoma" w:cs="Tahoma"/>
      <w:sz w:val="16"/>
      <w:szCs w:val="16"/>
    </w:rPr>
  </w:style>
  <w:style w:type="paragraph" w:styleId="ListParagraph">
    <w:name w:val="List Paragraph"/>
    <w:basedOn w:val="Normal"/>
    <w:uiPriority w:val="34"/>
    <w:qFormat/>
    <w:rsid w:val="00BF33AF"/>
    <w:pPr>
      <w:ind w:left="720"/>
      <w:contextualSpacing/>
    </w:pPr>
  </w:style>
  <w:style w:type="table" w:styleId="TableGrid">
    <w:name w:val="Table Grid"/>
    <w:basedOn w:val="TableNormal"/>
    <w:uiPriority w:val="59"/>
    <w:rsid w:val="00BF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2D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0ahUKEwivzY_X6f3PAhXH7SYKHXKpCeQQjRwIBw&amp;url=https://www.biologycorner.com/anatomy/digestive/digestive_coloring.html&amp;psig=AFQjCNFn0MVWlJB4e2TEC4lAxuITQfPBcQ&amp;ust=1477755279437699"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 Smith</dc:creator>
  <cp:lastModifiedBy>Kelly Dillman</cp:lastModifiedBy>
  <cp:revision>6</cp:revision>
  <cp:lastPrinted>2016-10-28T15:51:00Z</cp:lastPrinted>
  <dcterms:created xsi:type="dcterms:W3CDTF">2015-10-05T16:52:00Z</dcterms:created>
  <dcterms:modified xsi:type="dcterms:W3CDTF">2016-10-29T20:57:00Z</dcterms:modified>
</cp:coreProperties>
</file>